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D701" w14:textId="0C648D9A" w:rsidR="00C03D9C" w:rsidRDefault="00C03D9C" w:rsidP="00C03D9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Consideraciones técnicas para el PROPIETARIO y DIR. TÉCNICO en la implementación del </w:t>
      </w:r>
      <w:r w:rsidR="004A6E88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PLAN DE MANEJO DE RESIDUOS DE OBRA</w:t>
      </w:r>
    </w:p>
    <w:p w14:paraId="11E80B52" w14:textId="77777777" w:rsidR="00C03D9C" w:rsidRPr="00086D32" w:rsidRDefault="00C03D9C" w:rsidP="00C03D9C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086D3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Estos son algunos de los aspectos que deberá tener en cuenta en relación al almacenamiento, manejo, disposición y otras operaciones de gestión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con</w:t>
      </w:r>
      <w:r w:rsidRPr="00086D3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los residuos generados durante la construcción de una obra nueva y/o refacción de una existente:</w:t>
      </w:r>
    </w:p>
    <w:p w14:paraId="0E0706FC" w14:textId="77777777" w:rsidR="00C03D9C" w:rsidRPr="00537D6C" w:rsidRDefault="00C03D9C" w:rsidP="00C03D9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 w:rsidRPr="00833FC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Residuos de naturaleza pétrea/no pétrea</w:t>
      </w:r>
    </w:p>
    <w:p w14:paraId="3EA39BE2" w14:textId="77777777" w:rsidR="00C03D9C" w:rsidRPr="00DD1A40" w:rsidRDefault="00C03D9C" w:rsidP="00C03D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</w:pPr>
      <w:r w:rsidRPr="00DD1A40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El depósito transitorio de los escombros generados deberá realizarse en bolsones inferiores a 1 m</w:t>
      </w:r>
      <w:r w:rsidRPr="00DD1A40">
        <w:rPr>
          <w:rFonts w:ascii="Arial" w:hAnsi="Arial" w:cs="Arial"/>
          <w:bCs/>
          <w:color w:val="000000" w:themeColor="text1"/>
          <w:sz w:val="24"/>
          <w:szCs w:val="24"/>
          <w:vertAlign w:val="superscript"/>
          <w:lang w:val="es-ES_tradnl"/>
        </w:rPr>
        <w:t>3</w:t>
      </w:r>
      <w:r w:rsidRPr="00DD1A40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 o bien en volquetes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 o bateas/camiones volcadores </w:t>
      </w:r>
      <w:r w:rsidRPr="00DD1A40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habilitados de acuerdo a lo estipulado mediante Ord. N° 2529/20.</w:t>
      </w:r>
    </w:p>
    <w:p w14:paraId="259FF8A2" w14:textId="778DDE0B" w:rsidR="00C03D9C" w:rsidRPr="00DD1A40" w:rsidRDefault="00C03D9C" w:rsidP="00C03D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Para disponer exclusivamente residuos de naturaleza pétrea/no pétrea (ítem</w:t>
      </w:r>
      <w:r w:rsidR="00B40DD0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s A y B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) e</w:t>
      </w:r>
      <w:r w:rsidRPr="00DD1A40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l propietario deberá contratar empresas habilitadas por la Municipalidad de Rada Tilly de acuerdo a lo establecido por la Ord. N° 2529/20 - Res. N° 456/20, “Registro Municipal de Prestadores de Servicios de Contenedores, Volquetes y Bateas”.</w:t>
      </w:r>
    </w:p>
    <w:p w14:paraId="051215EE" w14:textId="77777777" w:rsidR="00C03D9C" w:rsidRPr="00DD1A40" w:rsidRDefault="00C03D9C" w:rsidP="00C03D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D1A40">
        <w:rPr>
          <w:rFonts w:ascii="Arial" w:hAnsi="Arial" w:cs="Arial"/>
          <w:color w:val="000000" w:themeColor="text1"/>
          <w:sz w:val="24"/>
          <w:szCs w:val="24"/>
          <w:lang w:val="es-ES_tradnl"/>
        </w:rPr>
        <w:t>Los volquetes o bateas debe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rán</w:t>
      </w:r>
      <w:r w:rsidRPr="00DD1A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ser completados hasta el nivel de seguridad de transporte.</w:t>
      </w:r>
    </w:p>
    <w:p w14:paraId="21DFEBFB" w14:textId="77777777" w:rsidR="00C03D9C" w:rsidRDefault="00C03D9C" w:rsidP="00C03D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D1A40">
        <w:rPr>
          <w:rFonts w:ascii="Arial" w:hAnsi="Arial" w:cs="Arial"/>
          <w:color w:val="000000" w:themeColor="text1"/>
          <w:sz w:val="24"/>
          <w:szCs w:val="24"/>
          <w:lang w:val="es-ES_tradnl"/>
        </w:rPr>
        <w:t>El volquete o batea podrá permanecer por un plazo máximo de hasta siete (7) días corridos en la vía pública y su retiro será obligación de la empresa prestadora del servicio.</w:t>
      </w:r>
    </w:p>
    <w:p w14:paraId="266CCF95" w14:textId="77777777" w:rsidR="00C03D9C" w:rsidRDefault="00C03D9C" w:rsidP="00C03D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D1A40">
        <w:rPr>
          <w:rFonts w:ascii="Arial" w:hAnsi="Arial" w:cs="Arial"/>
          <w:color w:val="000000" w:themeColor="text1"/>
          <w:sz w:val="24"/>
          <w:szCs w:val="24"/>
          <w:lang w:val="es-ES_tradnl"/>
        </w:rPr>
        <w:t>Los bolsones o camionadas de áridos deberán colocarse preferentemente en zonas de resguardo al viento para evitar voladuras a zonas aledañas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376440F9" w14:textId="77777777" w:rsidR="00C03D9C" w:rsidRDefault="00C03D9C" w:rsidP="00C03D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E</w:t>
      </w:r>
      <w:r w:rsidRPr="00DD1A40">
        <w:rPr>
          <w:rFonts w:ascii="Arial" w:hAnsi="Arial" w:cs="Arial"/>
          <w:color w:val="000000" w:themeColor="text1"/>
          <w:sz w:val="24"/>
          <w:szCs w:val="24"/>
          <w:lang w:val="es-ES_tradnl"/>
        </w:rPr>
        <w:t>l servicio de recolección diaria de los residuos sólidos urbanos (RSU) y el personal del Corralón Municipal no retiran residuos de obra.</w:t>
      </w:r>
    </w:p>
    <w:p w14:paraId="1C1D72FE" w14:textId="77777777" w:rsidR="00C03D9C" w:rsidRDefault="00C03D9C" w:rsidP="00C03D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Se encuentra prohibido arrojar residuos de obra en otros lotes.</w:t>
      </w:r>
    </w:p>
    <w:p w14:paraId="30D12848" w14:textId="77777777" w:rsidR="00C03D9C" w:rsidRPr="00510CE2" w:rsidRDefault="00C03D9C" w:rsidP="00C03D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Si necesita más detalles de las especificaciones de la </w:t>
      </w:r>
      <w:r w:rsidRPr="00DD1A40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Ord. N° 2529/20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, puede descargarla desde la web de la Municipalidad.</w:t>
      </w:r>
    </w:p>
    <w:p w14:paraId="630319DC" w14:textId="77777777" w:rsidR="00C03D9C" w:rsidRDefault="00C03D9C" w:rsidP="00C03D9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 w:rsidRPr="00833FC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Residuos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domiciliaros</w:t>
      </w:r>
      <w:r w:rsidRPr="00833FC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y reciclables</w:t>
      </w:r>
    </w:p>
    <w:p w14:paraId="35DDA1E0" w14:textId="77777777" w:rsidR="00B40DD0" w:rsidRPr="00B40DD0" w:rsidRDefault="00C03D9C" w:rsidP="00C03D9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u w:val="single"/>
          <w:lang w:val="es-ES_tradnl"/>
        </w:rPr>
        <w:t>Domiciliarios</w:t>
      </w:r>
      <w:r w:rsidRPr="00833FC1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: </w:t>
      </w:r>
    </w:p>
    <w:p w14:paraId="0904069C" w14:textId="63650780" w:rsidR="00C03D9C" w:rsidRDefault="00C03D9C" w:rsidP="00B40DD0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833FC1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Los residuos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 b</w:t>
      </w:r>
      <w:r w:rsidRPr="00833FC1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iodegradables (por ej.: restos de comida) 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o m</w:t>
      </w:r>
      <w:r w:rsidRPr="00833FC1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ezcla de 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domiciliarios</w:t>
      </w:r>
      <w:r w:rsidRPr="00833FC1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 e inorgánicos provenientes de la alimentación diaria no podrán ser dispuestos en los volquetes. Deberán ser dispuestos en recipientes y bolsas aptas para ser recolectados por la empresa responsable del retiro de </w:t>
      </w:r>
      <w:r w:rsidRPr="00833FC1">
        <w:rPr>
          <w:rFonts w:ascii="Arial" w:hAnsi="Arial" w:cs="Arial"/>
          <w:color w:val="000000" w:themeColor="text1"/>
          <w:sz w:val="24"/>
          <w:szCs w:val="24"/>
          <w:lang w:val="es-ES_tradnl"/>
        </w:rPr>
        <w:t>los residuos que se encuentre habilitada por la Municipalidad. En caso de no contar con recipiente de residuos adecuado en la obra al Código de Edificación (Art. N° 199), deberán ser transportados personalmente al domicilio residente del generador para una correcta disposición o en su defecto instalar un recipiente de obra para los mismos.</w:t>
      </w:r>
    </w:p>
    <w:p w14:paraId="68D9B5F8" w14:textId="77777777" w:rsidR="00B40DD0" w:rsidRPr="00B40DD0" w:rsidRDefault="00C03D9C" w:rsidP="00C03D9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833FC1">
        <w:rPr>
          <w:rFonts w:ascii="Arial" w:hAnsi="Arial" w:cs="Arial"/>
          <w:bCs/>
          <w:color w:val="000000" w:themeColor="text1"/>
          <w:sz w:val="24"/>
          <w:szCs w:val="24"/>
          <w:u w:val="single"/>
          <w:lang w:val="es-ES_tradnl"/>
        </w:rPr>
        <w:t>Reciclables</w:t>
      </w:r>
      <w:r w:rsidRPr="00833FC1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: </w:t>
      </w:r>
    </w:p>
    <w:p w14:paraId="7A7E418C" w14:textId="0326DBA4" w:rsidR="00C03D9C" w:rsidRDefault="00C03D9C" w:rsidP="00B40DD0">
      <w:pPr>
        <w:pStyle w:val="Prrafodelista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</w:pPr>
      <w:r w:rsidRPr="00833FC1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Deberá contar en la obra con recipiente/s para la disposición de residuos secos 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y limpios </w:t>
      </w:r>
      <w:r w:rsidRPr="00833FC1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reciclables (por ej.: envoltorios plásticos, envases plásticos, envases de vidrio, bolsas de papel, cartones y papeles, film de pallets de ladrillos, telgopor y restos de materiales aislantes, etc.). Los residuos de este tipo podrán ser transportados por el propietario al </w:t>
      </w:r>
      <w:r w:rsidR="00B40DD0" w:rsidRPr="00833FC1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Centro de Acopio Transitorio de Residuos</w:t>
      </w:r>
      <w:r w:rsidR="00B40DD0" w:rsidRPr="00833FC1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 </w:t>
      </w:r>
      <w:r w:rsidRPr="00833FC1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para su clasificación y disposición transitoria. Estos recipientes en el terreno deberán encontrarse a resguardo o amarrados para </w:t>
      </w:r>
      <w:r w:rsidRPr="00833FC1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lastRenderedPageBreak/>
        <w:t xml:space="preserve">evitar voladuras. Los residuos que no se encuentren limpios deberán ser dispuestos como </w:t>
      </w:r>
      <w: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domiciliarios</w:t>
      </w:r>
      <w:r w:rsidRPr="00833FC1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.</w:t>
      </w:r>
    </w:p>
    <w:p w14:paraId="58A57E83" w14:textId="0CBD8FC5" w:rsidR="00C03D9C" w:rsidRDefault="00B40DD0" w:rsidP="00B40DD0">
      <w:pPr>
        <w:pStyle w:val="Prrafodelista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Si el volumen generado fuera de características domiciliarias, se pueden usar para disponer los mismos, los Puntos Limpios ubicados en distintos sectores de la ciudad. </w:t>
      </w:r>
    </w:p>
    <w:p w14:paraId="5FF33BBC" w14:textId="77777777" w:rsidR="00C03D9C" w:rsidRPr="00DD1A40" w:rsidRDefault="00C03D9C" w:rsidP="00C03D9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 w:rsidRPr="00833FC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Residuos peligrosos</w:t>
      </w:r>
    </w:p>
    <w:p w14:paraId="11477477" w14:textId="77777777" w:rsidR="00C03D9C" w:rsidRPr="005958C2" w:rsidRDefault="00C03D9C" w:rsidP="00C03D9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5958C2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Está prohibido disponer</w:t>
      </w:r>
      <w:r w:rsidRPr="005958C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residuos peligrosos </w:t>
      </w:r>
      <w:r w:rsidRPr="00DD1A40">
        <w:rPr>
          <w:rFonts w:ascii="Arial" w:hAnsi="Arial" w:cs="Arial"/>
          <w:color w:val="000000" w:themeColor="text1"/>
          <w:sz w:val="24"/>
          <w:szCs w:val="24"/>
          <w:lang w:val="es-ES_tradnl"/>
        </w:rPr>
        <w:t>como aceites, combustibles, baterías de automóviles, residuos biopatogénicos, medicamentos vencidos, entre otros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(ver inciso 2, ítem e.)</w:t>
      </w:r>
      <w:r w:rsidRPr="00DD1A40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Pr="005958C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en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:</w:t>
      </w:r>
      <w:r w:rsidRPr="005958C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la Escombrera Municipal, junto con los residuos domiciliarios y en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el </w:t>
      </w:r>
      <w:r w:rsidRPr="005958C2">
        <w:rPr>
          <w:rFonts w:ascii="Arial" w:hAnsi="Arial" w:cs="Arial"/>
          <w:color w:val="000000" w:themeColor="text1"/>
          <w:sz w:val="24"/>
          <w:szCs w:val="24"/>
          <w:lang w:val="es-ES_tradnl"/>
        </w:rPr>
        <w:t>Centro de Acopio Transitorio de Residuos.</w:t>
      </w:r>
    </w:p>
    <w:p w14:paraId="7D4BB28C" w14:textId="77777777" w:rsidR="00C03D9C" w:rsidRPr="00110B02" w:rsidRDefault="00C03D9C" w:rsidP="00C03D9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  <w:r w:rsidRPr="005958C2">
        <w:rPr>
          <w:rFonts w:ascii="Arial" w:hAnsi="Arial" w:cs="Arial"/>
          <w:color w:val="000000" w:themeColor="text1"/>
          <w:sz w:val="24"/>
          <w:szCs w:val="24"/>
          <w:lang w:val="es-ES_tradnl"/>
        </w:rPr>
        <w:t>Residuos contaminados con pinturas, lacas, barnices y tintas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pueden ir junto con los residuos de obra. </w:t>
      </w:r>
    </w:p>
    <w:p w14:paraId="5C0DA356" w14:textId="77777777" w:rsidR="00C03D9C" w:rsidRPr="00DD1A40" w:rsidRDefault="00C03D9C" w:rsidP="00C03D9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Contratar empresas transportistas y operadoras de residuos peligrosos habilitadas para disponer otro tipo de corrientes que genere.</w:t>
      </w:r>
    </w:p>
    <w:p w14:paraId="12400B76" w14:textId="77777777" w:rsidR="00C03D9C" w:rsidRDefault="00C03D9C" w:rsidP="00C03D9C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Consideraciones generales</w:t>
      </w:r>
    </w:p>
    <w:p w14:paraId="3E0472F4" w14:textId="77777777" w:rsidR="00C03D9C" w:rsidRDefault="00C03D9C" w:rsidP="00C03D9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D1A40">
        <w:rPr>
          <w:rFonts w:ascii="Arial" w:hAnsi="Arial" w:cs="Arial"/>
          <w:color w:val="000000" w:themeColor="text1"/>
          <w:sz w:val="24"/>
          <w:szCs w:val="24"/>
          <w:lang w:val="es-ES_tradnl"/>
        </w:rPr>
        <w:t>Está prohibido depositar cualquier tipo de residuo en los cestos públicos localizados en espacios verdes, plazas, veredas, bulevares, descampados, paseo costanero y todo otro espacio público similar.</w:t>
      </w:r>
    </w:p>
    <w:p w14:paraId="4BBAC040" w14:textId="77777777" w:rsidR="00C03D9C" w:rsidRPr="00DD1A40" w:rsidRDefault="00C03D9C" w:rsidP="00C03D9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Está prohibido </w:t>
      </w:r>
      <w:r w:rsidRPr="00032D35">
        <w:rPr>
          <w:rFonts w:ascii="Arial" w:hAnsi="Arial" w:cs="Arial"/>
          <w:color w:val="000000" w:themeColor="text1"/>
          <w:sz w:val="24"/>
          <w:szCs w:val="24"/>
          <w:lang w:val="es-ES_tradnl"/>
        </w:rPr>
        <w:t>el lavado de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 </w:t>
      </w:r>
      <w:r w:rsidRPr="00032D3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camión mixer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en la calle o cordón cuneta.</w:t>
      </w:r>
    </w:p>
    <w:p w14:paraId="566E2746" w14:textId="77777777" w:rsidR="00C03D9C" w:rsidRPr="00DD1A40" w:rsidRDefault="00C03D9C" w:rsidP="00C03D9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D1A40">
        <w:rPr>
          <w:rFonts w:ascii="Arial" w:hAnsi="Arial" w:cs="Arial"/>
          <w:color w:val="000000" w:themeColor="text1"/>
          <w:sz w:val="24"/>
          <w:szCs w:val="24"/>
          <w:lang w:val="es-ES_tradnl"/>
        </w:rPr>
        <w:t>Está prohibida la quema a cielo abierto de residuos de cualquier índole dentro o fuera del predio de obra.</w:t>
      </w:r>
    </w:p>
    <w:p w14:paraId="5AE581F8" w14:textId="77777777" w:rsidR="00C03D9C" w:rsidRPr="00DD1A40" w:rsidRDefault="00C03D9C" w:rsidP="00C03D9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D1A40">
        <w:rPr>
          <w:rFonts w:ascii="Arial" w:hAnsi="Arial" w:cs="Arial"/>
          <w:color w:val="000000" w:themeColor="text1"/>
          <w:sz w:val="24"/>
          <w:szCs w:val="24"/>
          <w:lang w:val="es-ES_tradnl"/>
        </w:rPr>
        <w:t>No obstaculizar el paso público en veredas o calles con residuos o materiales de construcción.</w:t>
      </w:r>
    </w:p>
    <w:p w14:paraId="31B7E342" w14:textId="77777777" w:rsidR="00C03D9C" w:rsidRPr="00DD1A40" w:rsidRDefault="00C03D9C" w:rsidP="00C03D9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Ubicar los volquetes en lugares que tengan control por el personal de obra, a fin de evitar que otros vecinos ingresen residuos no deseados en el mismo.</w:t>
      </w:r>
    </w:p>
    <w:p w14:paraId="76961E7C" w14:textId="77777777" w:rsidR="00C03D9C" w:rsidRDefault="00C03D9C" w:rsidP="00C03D9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D1A40">
        <w:rPr>
          <w:rFonts w:ascii="Arial" w:hAnsi="Arial" w:cs="Arial"/>
          <w:color w:val="000000" w:themeColor="text1"/>
          <w:sz w:val="24"/>
          <w:szCs w:val="24"/>
          <w:lang w:val="es-ES_tradnl"/>
        </w:rPr>
        <w:t>Mantener cercada la obra para a fin de evitar dispersión de materiales y/o residuos.</w:t>
      </w:r>
    </w:p>
    <w:p w14:paraId="781C6E22" w14:textId="77777777" w:rsidR="00C03D9C" w:rsidRPr="005958C2" w:rsidRDefault="00C03D9C" w:rsidP="00C03D9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AD0C5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Finalizada la obra los bolsones con materiales en su interior no podrán quedar en la vía pública (vereda/calle) y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tampoco podrán </w:t>
      </w:r>
      <w:r w:rsidRPr="00AD0C5E">
        <w:rPr>
          <w:rFonts w:ascii="Arial" w:hAnsi="Arial" w:cs="Arial"/>
          <w:color w:val="000000" w:themeColor="text1"/>
          <w:sz w:val="24"/>
          <w:szCs w:val="24"/>
          <w:lang w:val="es-ES_tradnl"/>
        </w:rPr>
        <w:t>quedar restos de materiales ni otros residuos de obra en espacios públicos o privados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Pr="005958C2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 xml:space="preserve"> </w:t>
      </w:r>
    </w:p>
    <w:p w14:paraId="75BA0E8D" w14:textId="77777777" w:rsidR="00C03D9C" w:rsidRPr="005958C2" w:rsidRDefault="00C03D9C" w:rsidP="00C03D9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D1A40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E</w:t>
      </w:r>
      <w:r w:rsidRPr="00DD1A40">
        <w:rPr>
          <w:rFonts w:ascii="Arial" w:hAnsi="Arial" w:cs="Arial"/>
          <w:color w:val="000000" w:themeColor="text1"/>
          <w:sz w:val="24"/>
          <w:szCs w:val="24"/>
          <w:lang w:val="es-ES_tradnl"/>
        </w:rPr>
        <w:t>s responsabilidad del Propietario y Director Técnico del Proyecto conservar la obra y los alrededores de la misma siempre limpios.</w:t>
      </w:r>
    </w:p>
    <w:p w14:paraId="7DCD2F54" w14:textId="77777777" w:rsidR="00C03D9C" w:rsidRPr="00DC7D95" w:rsidRDefault="00C03D9C" w:rsidP="00C03D9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 w:rsidRPr="00DC7D95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Sanciones y multas</w:t>
      </w:r>
    </w:p>
    <w:p w14:paraId="439DB050" w14:textId="77777777" w:rsidR="00C03D9C" w:rsidRPr="00DD1A40" w:rsidRDefault="00C03D9C" w:rsidP="00C03D9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D1A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Cualquier actitud fuera de lo mencionado implica sanciones. Las sanciones se aplicarán al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P</w:t>
      </w:r>
      <w:r w:rsidRPr="00DD1A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ropietario y al Dir. Técnico de la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o</w:t>
      </w:r>
      <w:r w:rsidRPr="00DD1A40">
        <w:rPr>
          <w:rFonts w:ascii="Arial" w:hAnsi="Arial" w:cs="Arial"/>
          <w:color w:val="000000" w:themeColor="text1"/>
          <w:sz w:val="24"/>
          <w:szCs w:val="24"/>
          <w:lang w:val="es-ES_tradnl"/>
        </w:rPr>
        <w:t>bra.</w:t>
      </w:r>
    </w:p>
    <w:p w14:paraId="26020479" w14:textId="77777777" w:rsidR="005F7C9D" w:rsidRDefault="005F7C9D"/>
    <w:sectPr w:rsidR="005F7C9D" w:rsidSect="00086D32">
      <w:headerReference w:type="default" r:id="rId7"/>
      <w:pgSz w:w="12240" w:h="20160" w:code="5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D226" w14:textId="77777777" w:rsidR="000B1824" w:rsidRDefault="000B1824">
      <w:pPr>
        <w:spacing w:after="0" w:line="240" w:lineRule="auto"/>
      </w:pPr>
      <w:r>
        <w:separator/>
      </w:r>
    </w:p>
  </w:endnote>
  <w:endnote w:type="continuationSeparator" w:id="0">
    <w:p w14:paraId="6B905555" w14:textId="77777777" w:rsidR="000B1824" w:rsidRDefault="000B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6964" w14:textId="77777777" w:rsidR="000B1824" w:rsidRDefault="000B1824">
      <w:pPr>
        <w:spacing w:after="0" w:line="240" w:lineRule="auto"/>
      </w:pPr>
      <w:r>
        <w:separator/>
      </w:r>
    </w:p>
  </w:footnote>
  <w:footnote w:type="continuationSeparator" w:id="0">
    <w:p w14:paraId="130363D0" w14:textId="77777777" w:rsidR="000B1824" w:rsidRDefault="000B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D3A4" w14:textId="77777777" w:rsidR="00952A5F" w:rsidRPr="00C119EA" w:rsidRDefault="00952A5F" w:rsidP="00952A5F">
    <w:pPr>
      <w:spacing w:before="98" w:after="0" w:line="240" w:lineRule="auto"/>
      <w:ind w:left="3969" w:right="-20"/>
      <w:rPr>
        <w:rFonts w:ascii="Arial" w:eastAsia="Times New Roman" w:hAnsi="Arial" w:cs="Arial"/>
        <w:sz w:val="20"/>
        <w:szCs w:val="20"/>
      </w:rPr>
    </w:pPr>
    <w:r w:rsidRPr="00C119EA">
      <w:rPr>
        <w:rFonts w:ascii="Arial" w:eastAsia="Times New Roman" w:hAnsi="Arial" w:cs="Arial"/>
        <w:noProof/>
        <w:sz w:val="20"/>
        <w:szCs w:val="20"/>
        <w:lang w:eastAsia="es-AR"/>
      </w:rPr>
      <w:drawing>
        <wp:anchor distT="0" distB="0" distL="114300" distR="114300" simplePos="0" relativeHeight="251659264" behindDoc="1" locked="0" layoutInCell="1" allowOverlap="1" wp14:anchorId="29149B83" wp14:editId="169EC1D1">
          <wp:simplePos x="0" y="0"/>
          <wp:positionH relativeFrom="column">
            <wp:posOffset>2536707</wp:posOffset>
          </wp:positionH>
          <wp:positionV relativeFrom="paragraph">
            <wp:posOffset>64135</wp:posOffset>
          </wp:positionV>
          <wp:extent cx="414000" cy="482400"/>
          <wp:effectExtent l="0" t="0" r="5715" b="0"/>
          <wp:wrapTight wrapText="bothSides">
            <wp:wrapPolygon edited="0">
              <wp:start x="6968" y="0"/>
              <wp:lineTo x="1991" y="3415"/>
              <wp:lineTo x="0" y="6830"/>
              <wp:lineTo x="0" y="13660"/>
              <wp:lineTo x="4977" y="20490"/>
              <wp:lineTo x="5972" y="20490"/>
              <wp:lineTo x="15926" y="20490"/>
              <wp:lineTo x="20903" y="16221"/>
              <wp:lineTo x="20903" y="5976"/>
              <wp:lineTo x="18912" y="1708"/>
              <wp:lineTo x="14931" y="0"/>
              <wp:lineTo x="696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A52847" w14:textId="77777777" w:rsidR="00952A5F" w:rsidRPr="00C119EA" w:rsidRDefault="00952A5F" w:rsidP="00952A5F">
    <w:pPr>
      <w:spacing w:before="1" w:after="0" w:line="240" w:lineRule="exact"/>
      <w:rPr>
        <w:rFonts w:ascii="Arial" w:hAnsi="Arial" w:cs="Arial"/>
        <w:sz w:val="24"/>
        <w:szCs w:val="24"/>
      </w:rPr>
    </w:pPr>
  </w:p>
  <w:p w14:paraId="6406DC45" w14:textId="77777777" w:rsidR="00952A5F" w:rsidRDefault="00952A5F" w:rsidP="00952A5F">
    <w:pPr>
      <w:spacing w:before="40" w:after="0" w:line="239" w:lineRule="auto"/>
      <w:ind w:left="3034" w:right="2855"/>
      <w:jc w:val="center"/>
      <w:rPr>
        <w:rFonts w:ascii="Arial" w:eastAsia="Arial" w:hAnsi="Arial" w:cs="Arial"/>
        <w:spacing w:val="-2"/>
        <w:sz w:val="16"/>
        <w:szCs w:val="16"/>
      </w:rPr>
    </w:pPr>
  </w:p>
  <w:p w14:paraId="763D30E9" w14:textId="77777777" w:rsidR="00952A5F" w:rsidRDefault="00952A5F" w:rsidP="00952A5F">
    <w:pPr>
      <w:spacing w:before="40" w:after="0" w:line="239" w:lineRule="auto"/>
      <w:ind w:left="3034" w:right="2855"/>
      <w:jc w:val="center"/>
      <w:rPr>
        <w:rFonts w:ascii="Arial" w:eastAsia="Arial" w:hAnsi="Arial" w:cs="Arial"/>
        <w:spacing w:val="-2"/>
        <w:sz w:val="16"/>
        <w:szCs w:val="16"/>
      </w:rPr>
    </w:pPr>
  </w:p>
  <w:p w14:paraId="248A3F6D" w14:textId="77777777" w:rsidR="00952A5F" w:rsidRPr="00036EEE" w:rsidRDefault="00952A5F" w:rsidP="00952A5F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bCs/>
        <w:spacing w:val="-1"/>
        <w:sz w:val="16"/>
        <w:szCs w:val="16"/>
      </w:rPr>
    </w:pPr>
    <w:r w:rsidRPr="00036EEE">
      <w:rPr>
        <w:rFonts w:ascii="Arial" w:eastAsia="Arial" w:hAnsi="Arial" w:cs="Arial"/>
        <w:b/>
        <w:bCs/>
        <w:spacing w:val="-2"/>
        <w:sz w:val="16"/>
        <w:szCs w:val="16"/>
      </w:rPr>
      <w:t>M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UN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C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IPA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L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</w:t>
    </w:r>
    <w:r w:rsidRPr="00036EEE">
      <w:rPr>
        <w:rFonts w:ascii="Arial" w:eastAsia="Arial" w:hAnsi="Arial" w:cs="Arial"/>
        <w:b/>
        <w:bCs/>
        <w:spacing w:val="-3"/>
        <w:sz w:val="16"/>
        <w:szCs w:val="16"/>
      </w:rPr>
      <w:t>D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A</w:t>
    </w:r>
    <w:r w:rsidRPr="00036EEE">
      <w:rPr>
        <w:rFonts w:ascii="Arial" w:eastAsia="Arial" w:hAnsi="Arial" w:cs="Arial"/>
        <w:b/>
        <w:bCs/>
        <w:sz w:val="16"/>
        <w:szCs w:val="16"/>
      </w:rPr>
      <w:t xml:space="preserve">D </w:t>
    </w:r>
    <w:r w:rsidRPr="00036EEE">
      <w:rPr>
        <w:rFonts w:ascii="Arial" w:eastAsia="Arial" w:hAnsi="Arial" w:cs="Arial"/>
        <w:b/>
        <w:bCs/>
        <w:spacing w:val="-3"/>
        <w:sz w:val="16"/>
        <w:szCs w:val="16"/>
      </w:rPr>
      <w:t>D</w:t>
    </w:r>
    <w:r w:rsidRPr="00036EEE">
      <w:rPr>
        <w:rFonts w:ascii="Arial" w:eastAsia="Arial" w:hAnsi="Arial" w:cs="Arial"/>
        <w:b/>
        <w:bCs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2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RADA TILLY</w:t>
    </w:r>
  </w:p>
  <w:p w14:paraId="66AFF7E9" w14:textId="77777777" w:rsidR="00952A5F" w:rsidRPr="00036EEE" w:rsidRDefault="00952A5F" w:rsidP="00952A5F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bCs/>
        <w:spacing w:val="1"/>
        <w:sz w:val="16"/>
        <w:szCs w:val="16"/>
      </w:rPr>
    </w:pPr>
    <w:r w:rsidRPr="00036EEE">
      <w:rPr>
        <w:rFonts w:ascii="Arial" w:eastAsia="Arial" w:hAnsi="Arial" w:cs="Arial"/>
        <w:b/>
        <w:bCs/>
        <w:spacing w:val="1"/>
        <w:sz w:val="16"/>
        <w:szCs w:val="16"/>
      </w:rPr>
      <w:t>S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c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re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t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arí</w:t>
    </w:r>
    <w:r w:rsidRPr="00036EEE">
      <w:rPr>
        <w:rFonts w:ascii="Arial" w:eastAsia="Arial" w:hAnsi="Arial" w:cs="Arial"/>
        <w:b/>
        <w:bCs/>
        <w:sz w:val="16"/>
        <w:szCs w:val="16"/>
      </w:rPr>
      <w:t>a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d</w:t>
    </w:r>
    <w:r w:rsidRPr="00036EEE">
      <w:rPr>
        <w:rFonts w:ascii="Arial" w:eastAsia="Arial" w:hAnsi="Arial" w:cs="Arial"/>
        <w:b/>
        <w:bCs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 xml:space="preserve"> Obras Públicas</w:t>
    </w:r>
  </w:p>
  <w:p w14:paraId="07C69225" w14:textId="77777777" w:rsidR="00952A5F" w:rsidRPr="00036EEE" w:rsidRDefault="00952A5F" w:rsidP="00952A5F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bCs/>
        <w:sz w:val="16"/>
        <w:szCs w:val="16"/>
      </w:rPr>
    </w:pPr>
    <w:r w:rsidRPr="00036EEE">
      <w:rPr>
        <w:rFonts w:ascii="Arial" w:eastAsia="Arial" w:hAnsi="Arial" w:cs="Arial"/>
        <w:b/>
        <w:bCs/>
        <w:spacing w:val="1"/>
        <w:sz w:val="16"/>
        <w:szCs w:val="16"/>
      </w:rPr>
      <w:t xml:space="preserve">Dirección </w:t>
    </w:r>
    <w:r w:rsidRPr="00036EEE">
      <w:rPr>
        <w:rFonts w:ascii="Arial" w:eastAsia="Arial" w:hAnsi="Arial" w:cs="Arial"/>
        <w:b/>
        <w:bCs/>
        <w:sz w:val="16"/>
        <w:szCs w:val="16"/>
      </w:rPr>
      <w:t>de</w:t>
    </w:r>
    <w:r w:rsidRPr="00036EEE">
      <w:rPr>
        <w:rFonts w:ascii="Arial" w:eastAsia="Arial" w:hAnsi="Arial" w:cs="Arial"/>
        <w:b/>
        <w:bCs/>
        <w:spacing w:val="-2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M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e</w:t>
    </w:r>
    <w:r w:rsidRPr="00036EEE">
      <w:rPr>
        <w:rFonts w:ascii="Arial" w:eastAsia="Arial" w:hAnsi="Arial" w:cs="Arial"/>
        <w:b/>
        <w:bCs/>
        <w:sz w:val="16"/>
        <w:szCs w:val="16"/>
      </w:rPr>
      <w:t>d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i</w:t>
    </w:r>
    <w:r w:rsidRPr="00036EEE">
      <w:rPr>
        <w:rFonts w:ascii="Arial" w:eastAsia="Arial" w:hAnsi="Arial" w:cs="Arial"/>
        <w:b/>
        <w:bCs/>
        <w:sz w:val="16"/>
        <w:szCs w:val="16"/>
      </w:rPr>
      <w:t>o</w:t>
    </w:r>
    <w:r w:rsidRPr="00036EEE">
      <w:rPr>
        <w:rFonts w:ascii="Arial" w:eastAsia="Arial" w:hAnsi="Arial" w:cs="Arial"/>
        <w:b/>
        <w:bCs/>
        <w:spacing w:val="4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-8"/>
        <w:sz w:val="16"/>
        <w:szCs w:val="16"/>
      </w:rPr>
      <w:t>A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m</w:t>
    </w:r>
    <w:r w:rsidRPr="00036EEE">
      <w:rPr>
        <w:rFonts w:ascii="Arial" w:eastAsia="Arial" w:hAnsi="Arial" w:cs="Arial"/>
        <w:b/>
        <w:bCs/>
        <w:sz w:val="16"/>
        <w:szCs w:val="16"/>
      </w:rPr>
      <w:t>b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-2"/>
        <w:sz w:val="16"/>
        <w:szCs w:val="16"/>
      </w:rPr>
      <w:t>n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t</w:t>
    </w:r>
    <w:r w:rsidRPr="00036EEE">
      <w:rPr>
        <w:rFonts w:ascii="Arial" w:eastAsia="Arial" w:hAnsi="Arial" w:cs="Arial"/>
        <w:b/>
        <w:bCs/>
        <w:sz w:val="16"/>
        <w:szCs w:val="16"/>
      </w:rPr>
      <w:t>e</w:t>
    </w:r>
  </w:p>
  <w:p w14:paraId="67E14984" w14:textId="77777777" w:rsidR="00952A5F" w:rsidRPr="00C119EA" w:rsidRDefault="00952A5F" w:rsidP="00952A5F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</w:rPr>
    </w:pPr>
    <w:r w:rsidRPr="00C119EA">
      <w:rPr>
        <w:rFonts w:ascii="Arial" w:eastAsia="Arial" w:hAnsi="Arial" w:cs="Arial"/>
        <w:sz w:val="16"/>
        <w:szCs w:val="16"/>
      </w:rPr>
      <w:t>Fragata 25 de Mayo N° 588 (U9001CJL)</w:t>
    </w:r>
  </w:p>
  <w:p w14:paraId="48CE3002" w14:textId="77777777" w:rsidR="00952A5F" w:rsidRDefault="00952A5F" w:rsidP="00952A5F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  <w:lang w:val="en-US"/>
      </w:rPr>
    </w:pPr>
    <w:r w:rsidRPr="00FB6885">
      <w:rPr>
        <w:rFonts w:ascii="Arial" w:eastAsia="Arial" w:hAnsi="Arial" w:cs="Arial"/>
        <w:sz w:val="16"/>
        <w:szCs w:val="16"/>
        <w:lang w:val="en-US"/>
      </w:rPr>
      <w:t>(0297) 406-9303/8138/8143 (Int.</w:t>
    </w:r>
    <w:r>
      <w:rPr>
        <w:rFonts w:ascii="Arial" w:eastAsia="Arial" w:hAnsi="Arial" w:cs="Arial"/>
        <w:sz w:val="16"/>
        <w:szCs w:val="16"/>
        <w:lang w:val="en-US"/>
      </w:rPr>
      <w:t>105/106/109</w:t>
    </w:r>
    <w:r w:rsidRPr="00FB6885">
      <w:rPr>
        <w:rFonts w:ascii="Arial" w:eastAsia="Arial" w:hAnsi="Arial" w:cs="Arial"/>
        <w:sz w:val="16"/>
        <w:szCs w:val="16"/>
        <w:lang w:val="en-US"/>
      </w:rPr>
      <w:t>)</w:t>
    </w:r>
  </w:p>
  <w:p w14:paraId="263EB47A" w14:textId="77777777" w:rsidR="005E0D52" w:rsidRPr="005E0D52" w:rsidRDefault="000B1824" w:rsidP="005E0D52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4EC"/>
    <w:multiLevelType w:val="hybridMultilevel"/>
    <w:tmpl w:val="0C40343E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5E9C"/>
    <w:multiLevelType w:val="hybridMultilevel"/>
    <w:tmpl w:val="C99048E6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F5DB6"/>
    <w:multiLevelType w:val="hybridMultilevel"/>
    <w:tmpl w:val="BCE42844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C3C67"/>
    <w:multiLevelType w:val="hybridMultilevel"/>
    <w:tmpl w:val="56044436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readOnly" w:enforcement="1" w:cryptProviderType="rsaAES" w:cryptAlgorithmClass="hash" w:cryptAlgorithmType="typeAny" w:cryptAlgorithmSid="14" w:cryptSpinCount="100000" w:hash="B8hxiKxKEuEY8H702EmKcTr5tQ3hSWZJ3uwsi4i2VRxeZOXkPIlLPPJYcuVcwEiBlUM1PCVxYgjdA9q6+YoWNQ==" w:salt="vVmIEWI95OsqmRkHbr/j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9C"/>
    <w:rsid w:val="000B1824"/>
    <w:rsid w:val="004A6E88"/>
    <w:rsid w:val="005F7C9D"/>
    <w:rsid w:val="00952A5F"/>
    <w:rsid w:val="00B40DD0"/>
    <w:rsid w:val="00B41FD1"/>
    <w:rsid w:val="00C0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1825"/>
  <w15:chartTrackingRefBased/>
  <w15:docId w15:val="{57F097DB-ACB8-4DC8-BD13-7CFDD850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3D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2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A5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52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A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765</Words>
  <Characters>4211</Characters>
  <Application>Microsoft Office Word</Application>
  <DocSecurity>8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R. Mazón</dc:creator>
  <cp:keywords/>
  <dc:description/>
  <cp:lastModifiedBy>Hernán R. Mazón</cp:lastModifiedBy>
  <cp:revision>4</cp:revision>
  <dcterms:created xsi:type="dcterms:W3CDTF">2021-07-07T12:11:00Z</dcterms:created>
  <dcterms:modified xsi:type="dcterms:W3CDTF">2021-10-20T12:57:00Z</dcterms:modified>
</cp:coreProperties>
</file>